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7FAC" w14:textId="77777777" w:rsidR="0003036F" w:rsidRDefault="00092728">
      <w:pPr>
        <w:pStyle w:val="Title"/>
      </w:pPr>
      <w:r>
        <w:t>PURPOSED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</w:p>
    <w:p w14:paraId="5900CCEA" w14:textId="5F95F7F5" w:rsidR="0003036F" w:rsidRDefault="00092728">
      <w:pPr>
        <w:spacing w:before="194" w:line="259" w:lineRule="auto"/>
        <w:ind w:left="220" w:right="836"/>
        <w:rPr>
          <w:i/>
          <w:sz w:val="28"/>
        </w:rPr>
      </w:pPr>
      <w:r>
        <w:rPr>
          <w:i/>
          <w:sz w:val="28"/>
        </w:rPr>
        <w:t xml:space="preserve">Proposal for Operating </w:t>
      </w:r>
      <w:r w:rsidR="00641BBE">
        <w:rPr>
          <w:i/>
          <w:sz w:val="28"/>
        </w:rPr>
        <w:t xml:space="preserve">and Capital </w:t>
      </w:r>
      <w:r>
        <w:rPr>
          <w:i/>
          <w:sz w:val="28"/>
        </w:rPr>
        <w:t>funding under</w:t>
      </w:r>
      <w:r w:rsidR="00641BBE">
        <w:rPr>
          <w:i/>
          <w:sz w:val="28"/>
        </w:rPr>
        <w:t xml:space="preserve"> ISHP</w:t>
      </w:r>
      <w:r>
        <w:rPr>
          <w:i/>
          <w:sz w:val="28"/>
        </w:rPr>
        <w:t xml:space="preserve"> </w:t>
      </w:r>
      <w:r w:rsidR="009D5F4F">
        <w:rPr>
          <w:i/>
          <w:sz w:val="28"/>
        </w:rPr>
        <w:t>SSRF PHASE 5</w:t>
      </w:r>
      <w:r>
        <w:rPr>
          <w:i/>
          <w:spacing w:val="-62"/>
          <w:sz w:val="28"/>
        </w:rPr>
        <w:t xml:space="preserve"> </w:t>
      </w:r>
    </w:p>
    <w:p w14:paraId="0EC20846" w14:textId="77777777" w:rsidR="0003036F" w:rsidRDefault="00092728">
      <w:pPr>
        <w:pStyle w:val="Heading1"/>
        <w:tabs>
          <w:tab w:val="left" w:pos="6479"/>
        </w:tabs>
        <w:spacing w:before="193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ORGANIZATION:</w:t>
      </w:r>
      <w:r>
        <w:tab/>
        <w:t>DATE:</w:t>
      </w:r>
    </w:p>
    <w:p w14:paraId="44C4220C" w14:textId="77777777" w:rsidR="0003036F" w:rsidRDefault="0003036F">
      <w:pPr>
        <w:pStyle w:val="BodyText"/>
        <w:rPr>
          <w:b/>
          <w:sz w:val="28"/>
        </w:rPr>
      </w:pPr>
    </w:p>
    <w:p w14:paraId="335AFE2D" w14:textId="77777777" w:rsidR="0003036F" w:rsidRDefault="0003036F">
      <w:pPr>
        <w:pStyle w:val="BodyText"/>
        <w:spacing w:before="4"/>
        <w:rPr>
          <w:b/>
          <w:sz w:val="28"/>
        </w:rPr>
      </w:pPr>
    </w:p>
    <w:p w14:paraId="44D5D9B1" w14:textId="4625724F" w:rsidR="0003036F" w:rsidRDefault="009D5F4F">
      <w:pPr>
        <w:ind w:left="220"/>
        <w:rPr>
          <w:b/>
          <w:sz w:val="28"/>
        </w:rPr>
      </w:pPr>
      <w:r>
        <w:rPr>
          <w:b/>
          <w:sz w:val="28"/>
          <w:u w:val="single"/>
        </w:rPr>
        <w:t>SSRF PHASE 5</w:t>
      </w:r>
      <w:r w:rsidR="008D38C1">
        <w:rPr>
          <w:b/>
          <w:sz w:val="28"/>
          <w:u w:val="single"/>
        </w:rPr>
        <w:t xml:space="preserve"> Operating</w:t>
      </w:r>
      <w:r w:rsidR="00092728">
        <w:rPr>
          <w:b/>
          <w:sz w:val="28"/>
          <w:u w:val="single"/>
        </w:rPr>
        <w:t>:</w:t>
      </w:r>
    </w:p>
    <w:p w14:paraId="5B0D30DE" w14:textId="48D3AAF3" w:rsidR="0003036F" w:rsidRDefault="00092728">
      <w:pPr>
        <w:spacing w:before="175"/>
        <w:ind w:left="219" w:right="100"/>
        <w:rPr>
          <w:sz w:val="28"/>
        </w:rPr>
      </w:pPr>
      <w:r>
        <w:rPr>
          <w:sz w:val="28"/>
        </w:rPr>
        <w:t xml:space="preserve">The projected use of </w:t>
      </w:r>
      <w:r w:rsidR="009D5F4F">
        <w:rPr>
          <w:sz w:val="28"/>
        </w:rPr>
        <w:t xml:space="preserve">SSRF Phase 5 </w:t>
      </w:r>
      <w:r>
        <w:rPr>
          <w:sz w:val="28"/>
        </w:rPr>
        <w:t>funding should reflect a sound financial plan and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forecast of operating </w:t>
      </w:r>
      <w:r w:rsidR="00DB386F">
        <w:rPr>
          <w:sz w:val="28"/>
        </w:rPr>
        <w:t xml:space="preserve">or capital </w:t>
      </w:r>
      <w:r>
        <w:rPr>
          <w:sz w:val="28"/>
        </w:rPr>
        <w:t>expenditures in the following Indigenous Supportive Housing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Program (ISHP) </w:t>
      </w:r>
      <w:r w:rsidR="00DB386F">
        <w:rPr>
          <w:sz w:val="28"/>
        </w:rPr>
        <w:t xml:space="preserve">SSRF </w:t>
      </w:r>
      <w:r>
        <w:rPr>
          <w:sz w:val="28"/>
        </w:rPr>
        <w:t>service categories. Please only enter the funding you will be able</w:t>
      </w:r>
      <w:r w:rsidR="009D5F4F">
        <w:rPr>
          <w:sz w:val="28"/>
        </w:rPr>
        <w:t xml:space="preserve"> </w:t>
      </w:r>
      <w:r w:rsidR="008D38C1">
        <w:rPr>
          <w:sz w:val="28"/>
        </w:rPr>
        <w:t>to commit</w:t>
      </w:r>
      <w:r>
        <w:rPr>
          <w:spacing w:val="-3"/>
          <w:sz w:val="28"/>
        </w:rPr>
        <w:t xml:space="preserve"> </w:t>
      </w:r>
      <w:r>
        <w:rPr>
          <w:sz w:val="28"/>
        </w:rPr>
        <w:t>and spend</w:t>
      </w:r>
      <w:r>
        <w:rPr>
          <w:spacing w:val="-1"/>
          <w:sz w:val="28"/>
        </w:rPr>
        <w:t xml:space="preserve"> </w:t>
      </w:r>
      <w:r>
        <w:rPr>
          <w:sz w:val="28"/>
        </w:rPr>
        <w:t>within the</w:t>
      </w:r>
      <w:r>
        <w:rPr>
          <w:spacing w:val="-3"/>
          <w:sz w:val="28"/>
        </w:rPr>
        <w:t xml:space="preserve"> </w:t>
      </w:r>
      <w:r>
        <w:rPr>
          <w:sz w:val="28"/>
        </w:rPr>
        <w:t>required timelines</w:t>
      </w:r>
      <w:r>
        <w:rPr>
          <w:spacing w:val="-2"/>
          <w:sz w:val="28"/>
        </w:rPr>
        <w:t xml:space="preserve"> </w:t>
      </w:r>
      <w:r>
        <w:rPr>
          <w:sz w:val="28"/>
        </w:rPr>
        <w:t>in the</w:t>
      </w:r>
      <w:r>
        <w:rPr>
          <w:spacing w:val="-3"/>
          <w:sz w:val="28"/>
        </w:rPr>
        <w:t xml:space="preserve"> </w:t>
      </w:r>
      <w:r>
        <w:rPr>
          <w:sz w:val="28"/>
        </w:rPr>
        <w:t>chart</w:t>
      </w:r>
      <w:r>
        <w:rPr>
          <w:spacing w:val="-2"/>
          <w:sz w:val="28"/>
        </w:rPr>
        <w:t xml:space="preserve"> </w:t>
      </w:r>
      <w:r>
        <w:rPr>
          <w:sz w:val="28"/>
        </w:rPr>
        <w:t>below.</w:t>
      </w:r>
    </w:p>
    <w:p w14:paraId="205C0920" w14:textId="77777777" w:rsidR="008D38C1" w:rsidRDefault="008D38C1">
      <w:pPr>
        <w:spacing w:before="175"/>
        <w:ind w:left="219" w:right="100"/>
        <w:rPr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210"/>
        <w:gridCol w:w="1155"/>
        <w:gridCol w:w="1088"/>
        <w:gridCol w:w="1318"/>
        <w:gridCol w:w="1740"/>
      </w:tblGrid>
      <w:tr w:rsidR="0003036F" w14:paraId="28650A58" w14:textId="77777777">
        <w:trPr>
          <w:trHeight w:val="806"/>
        </w:trPr>
        <w:tc>
          <w:tcPr>
            <w:tcW w:w="2844" w:type="dxa"/>
            <w:shd w:val="clear" w:color="auto" w:fill="E0EDDA"/>
          </w:tcPr>
          <w:p w14:paraId="24189F20" w14:textId="43422053" w:rsidR="0003036F" w:rsidRDefault="00DB386F">
            <w:pPr>
              <w:pStyle w:val="TableParagraph"/>
              <w:spacing w:before="133" w:line="266" w:lineRule="exact"/>
              <w:ind w:left="496"/>
            </w:pPr>
            <w:r>
              <w:t xml:space="preserve">SSRF PH </w:t>
            </w:r>
            <w:r w:rsidR="002D264F">
              <w:t>5</w:t>
            </w:r>
            <w:r w:rsidR="00092728">
              <w:rPr>
                <w:spacing w:val="-1"/>
              </w:rPr>
              <w:t xml:space="preserve"> </w:t>
            </w:r>
            <w:r w:rsidR="00092728">
              <w:t>Service</w:t>
            </w:r>
          </w:p>
          <w:p w14:paraId="5F9D465F" w14:textId="625A777D" w:rsidR="0003036F" w:rsidRDefault="00092728">
            <w:pPr>
              <w:pStyle w:val="TableParagraph"/>
              <w:spacing w:line="266" w:lineRule="exact"/>
              <w:ind w:left="952"/>
            </w:pPr>
            <w:r>
              <w:t>Categories</w:t>
            </w:r>
            <w:r w:rsidR="008D38C1">
              <w:t xml:space="preserve"> - Operating</w:t>
            </w:r>
          </w:p>
        </w:tc>
        <w:tc>
          <w:tcPr>
            <w:tcW w:w="1210" w:type="dxa"/>
            <w:shd w:val="clear" w:color="auto" w:fill="E0EDDA"/>
          </w:tcPr>
          <w:p w14:paraId="2FA189BF" w14:textId="77777777" w:rsidR="0003036F" w:rsidRDefault="00092728">
            <w:pPr>
              <w:pStyle w:val="TableParagraph"/>
              <w:spacing w:before="6" w:line="267" w:lineRule="exact"/>
              <w:ind w:left="457" w:right="442"/>
              <w:jc w:val="center"/>
            </w:pPr>
            <w:r>
              <w:t>Q1</w:t>
            </w:r>
          </w:p>
          <w:p w14:paraId="632E390E" w14:textId="66008D7A" w:rsidR="0003036F" w:rsidRDefault="00092728">
            <w:pPr>
              <w:pStyle w:val="TableParagraph"/>
              <w:spacing w:before="7" w:line="252" w:lineRule="exact"/>
              <w:ind w:left="146" w:right="132" w:firstLine="10"/>
              <w:jc w:val="center"/>
            </w:pPr>
            <w:r>
              <w:t>Planned</w:t>
            </w:r>
            <w:r>
              <w:rPr>
                <w:spacing w:val="1"/>
              </w:rPr>
              <w:t xml:space="preserve"> </w:t>
            </w:r>
            <w:r>
              <w:t>(Apr</w:t>
            </w:r>
            <w:r>
              <w:rPr>
                <w:spacing w:val="-9"/>
              </w:rPr>
              <w:t xml:space="preserve"> </w:t>
            </w:r>
            <w:r w:rsidR="00DB386F">
              <w:t>–</w:t>
            </w:r>
            <w:r>
              <w:rPr>
                <w:spacing w:val="-8"/>
              </w:rPr>
              <w:t xml:space="preserve"> </w:t>
            </w:r>
            <w:r>
              <w:t>Jun)</w:t>
            </w:r>
          </w:p>
        </w:tc>
        <w:tc>
          <w:tcPr>
            <w:tcW w:w="1155" w:type="dxa"/>
            <w:shd w:val="clear" w:color="auto" w:fill="E0EDDA"/>
          </w:tcPr>
          <w:p w14:paraId="7F4FB1A9" w14:textId="77777777" w:rsidR="0003036F" w:rsidRDefault="00092728">
            <w:pPr>
              <w:pStyle w:val="TableParagraph"/>
              <w:spacing w:before="6" w:line="267" w:lineRule="exact"/>
              <w:ind w:left="431" w:right="414"/>
              <w:jc w:val="center"/>
            </w:pPr>
            <w:r>
              <w:t>Q2</w:t>
            </w:r>
          </w:p>
          <w:p w14:paraId="2F5FAFF5" w14:textId="77777777" w:rsidR="0003036F" w:rsidRDefault="00092728">
            <w:pPr>
              <w:pStyle w:val="TableParagraph"/>
              <w:spacing w:before="7" w:line="252" w:lineRule="exact"/>
              <w:ind w:left="129" w:right="109" w:firstLine="1"/>
              <w:jc w:val="center"/>
            </w:pPr>
            <w:r>
              <w:t>Planned</w:t>
            </w:r>
            <w:r>
              <w:rPr>
                <w:spacing w:val="1"/>
              </w:rPr>
              <w:t xml:space="preserve"> </w:t>
            </w:r>
            <w:r>
              <w:t>(Jul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Sep)</w:t>
            </w:r>
          </w:p>
        </w:tc>
        <w:tc>
          <w:tcPr>
            <w:tcW w:w="1088" w:type="dxa"/>
            <w:shd w:val="clear" w:color="auto" w:fill="E0EDDA"/>
          </w:tcPr>
          <w:p w14:paraId="04EE24BF" w14:textId="77777777" w:rsidR="0003036F" w:rsidRDefault="00092728">
            <w:pPr>
              <w:pStyle w:val="TableParagraph"/>
              <w:spacing w:before="6" w:line="267" w:lineRule="exact"/>
              <w:ind w:left="394" w:right="384"/>
              <w:jc w:val="center"/>
            </w:pPr>
            <w:r>
              <w:t>Q3</w:t>
            </w:r>
          </w:p>
          <w:p w14:paraId="3F046597" w14:textId="77777777" w:rsidR="0003036F" w:rsidRDefault="00092728">
            <w:pPr>
              <w:pStyle w:val="TableParagraph"/>
              <w:spacing w:before="7" w:line="252" w:lineRule="exact"/>
              <w:ind w:left="118" w:right="102" w:firstLine="3"/>
              <w:jc w:val="center"/>
            </w:pPr>
            <w:r>
              <w:t>Planned</w:t>
            </w:r>
            <w:r>
              <w:rPr>
                <w:spacing w:val="1"/>
              </w:rPr>
              <w:t xml:space="preserve"> </w:t>
            </w:r>
            <w:r>
              <w:t>(Oct-Dec)</w:t>
            </w:r>
          </w:p>
        </w:tc>
        <w:tc>
          <w:tcPr>
            <w:tcW w:w="1318" w:type="dxa"/>
            <w:shd w:val="clear" w:color="auto" w:fill="E0EDDA"/>
          </w:tcPr>
          <w:p w14:paraId="26BA2028" w14:textId="77777777" w:rsidR="0003036F" w:rsidRDefault="00092728">
            <w:pPr>
              <w:pStyle w:val="TableParagraph"/>
              <w:spacing w:before="6" w:line="267" w:lineRule="exact"/>
              <w:ind w:left="508" w:right="499"/>
              <w:jc w:val="center"/>
            </w:pPr>
            <w:r>
              <w:t>Q4</w:t>
            </w:r>
          </w:p>
          <w:p w14:paraId="4D707140" w14:textId="4BBE62F7" w:rsidR="0003036F" w:rsidRDefault="00092728">
            <w:pPr>
              <w:pStyle w:val="TableParagraph"/>
              <w:spacing w:before="7" w:line="252" w:lineRule="exact"/>
              <w:ind w:left="178" w:right="235" w:firstLine="70"/>
              <w:jc w:val="center"/>
            </w:pPr>
            <w:r>
              <w:t>Planned</w:t>
            </w:r>
            <w:r>
              <w:rPr>
                <w:spacing w:val="1"/>
              </w:rPr>
              <w:t xml:space="preserve"> </w:t>
            </w:r>
            <w:r>
              <w:t>(Jan</w:t>
            </w:r>
            <w:r>
              <w:rPr>
                <w:spacing w:val="-8"/>
              </w:rPr>
              <w:t xml:space="preserve"> </w:t>
            </w:r>
            <w:r w:rsidR="00DB386F">
              <w:t>–</w:t>
            </w:r>
            <w:r>
              <w:rPr>
                <w:spacing w:val="-7"/>
              </w:rPr>
              <w:t xml:space="preserve"> </w:t>
            </w:r>
            <w:r>
              <w:t>Jun)</w:t>
            </w:r>
          </w:p>
        </w:tc>
        <w:tc>
          <w:tcPr>
            <w:tcW w:w="1740" w:type="dxa"/>
            <w:shd w:val="clear" w:color="auto" w:fill="E0EDDA"/>
          </w:tcPr>
          <w:p w14:paraId="6DB59278" w14:textId="77777777" w:rsidR="0003036F" w:rsidRDefault="0003036F">
            <w:pPr>
              <w:pStyle w:val="TableParagraph"/>
              <w:spacing w:before="9"/>
              <w:rPr>
                <w:sz w:val="21"/>
              </w:rPr>
            </w:pPr>
          </w:p>
          <w:p w14:paraId="69C0E6D9" w14:textId="77777777" w:rsidR="0003036F" w:rsidRDefault="00092728">
            <w:pPr>
              <w:pStyle w:val="TableParagraph"/>
              <w:ind w:left="578"/>
            </w:pPr>
            <w:r>
              <w:t>TOTAL</w:t>
            </w:r>
          </w:p>
        </w:tc>
      </w:tr>
      <w:tr w:rsidR="0003036F" w14:paraId="150D28A0" w14:textId="77777777">
        <w:trPr>
          <w:trHeight w:val="290"/>
        </w:trPr>
        <w:tc>
          <w:tcPr>
            <w:tcW w:w="9355" w:type="dxa"/>
            <w:gridSpan w:val="6"/>
            <w:tcBorders>
              <w:left w:val="nil"/>
              <w:right w:val="nil"/>
            </w:tcBorders>
          </w:tcPr>
          <w:p w14:paraId="474AA0F1" w14:textId="77777777" w:rsidR="0003036F" w:rsidRDefault="00092728">
            <w:pPr>
              <w:pStyle w:val="TableParagraph"/>
              <w:spacing w:before="8" w:line="261" w:lineRule="exact"/>
              <w:ind w:left="117"/>
            </w:pPr>
            <w:r>
              <w:t>Spending</w:t>
            </w:r>
            <w:r>
              <w:rPr>
                <w:spacing w:val="-6"/>
              </w:rPr>
              <w:t xml:space="preserve"> </w:t>
            </w:r>
            <w:r>
              <w:t>Categories</w:t>
            </w:r>
          </w:p>
        </w:tc>
      </w:tr>
      <w:tr w:rsidR="0003036F" w14:paraId="02C14D5C" w14:textId="77777777">
        <w:trPr>
          <w:trHeight w:val="285"/>
        </w:trPr>
        <w:tc>
          <w:tcPr>
            <w:tcW w:w="2844" w:type="dxa"/>
          </w:tcPr>
          <w:p w14:paraId="34DC4B42" w14:textId="291203DB" w:rsidR="0003036F" w:rsidRDefault="004D1075">
            <w:pPr>
              <w:pStyle w:val="TableParagraph"/>
              <w:spacing w:before="6" w:line="259" w:lineRule="exact"/>
              <w:ind w:left="112"/>
            </w:pPr>
            <w:r>
              <w:t>Housing Assistance (</w:t>
            </w:r>
            <w:proofErr w:type="gramStart"/>
            <w:r>
              <w:t>e.g.</w:t>
            </w:r>
            <w:proofErr w:type="gramEnd"/>
            <w:r>
              <w:t xml:space="preserve"> rent supplements)</w:t>
            </w:r>
          </w:p>
        </w:tc>
        <w:tc>
          <w:tcPr>
            <w:tcW w:w="1210" w:type="dxa"/>
          </w:tcPr>
          <w:p w14:paraId="023FE13F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67B0DF30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076F2237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4D804011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D9D9D9"/>
          </w:tcPr>
          <w:p w14:paraId="4C26ACD5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36F" w14:paraId="3DB882F9" w14:textId="77777777">
        <w:trPr>
          <w:trHeight w:val="287"/>
        </w:trPr>
        <w:tc>
          <w:tcPr>
            <w:tcW w:w="2844" w:type="dxa"/>
          </w:tcPr>
          <w:p w14:paraId="4CC17E10" w14:textId="77777777" w:rsidR="0003036F" w:rsidRDefault="00092728">
            <w:pPr>
              <w:pStyle w:val="TableParagraph"/>
              <w:spacing w:before="8" w:line="259" w:lineRule="exact"/>
              <w:ind w:left="112"/>
            </w:pP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Services</w:t>
            </w:r>
          </w:p>
        </w:tc>
        <w:tc>
          <w:tcPr>
            <w:tcW w:w="1210" w:type="dxa"/>
          </w:tcPr>
          <w:p w14:paraId="360E1C22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565A198B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5992D77D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7161C91F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D9D9D9"/>
          </w:tcPr>
          <w:p w14:paraId="4F6DADFC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36F" w14:paraId="2563EB9C" w14:textId="77777777">
        <w:trPr>
          <w:trHeight w:val="290"/>
        </w:trPr>
        <w:tc>
          <w:tcPr>
            <w:tcW w:w="2844" w:type="dxa"/>
          </w:tcPr>
          <w:p w14:paraId="6A856FE8" w14:textId="77777777" w:rsidR="0003036F" w:rsidRDefault="00092728">
            <w:pPr>
              <w:pStyle w:val="TableParagraph"/>
              <w:spacing w:before="11" w:line="259" w:lineRule="exact"/>
              <w:ind w:left="1348"/>
            </w:pPr>
            <w:r>
              <w:t>Total</w:t>
            </w:r>
            <w:r>
              <w:rPr>
                <w:spacing w:val="-8"/>
              </w:rPr>
              <w:t xml:space="preserve"> </w:t>
            </w:r>
            <w:r>
              <w:t>Operating</w:t>
            </w:r>
          </w:p>
        </w:tc>
        <w:tc>
          <w:tcPr>
            <w:tcW w:w="1210" w:type="dxa"/>
          </w:tcPr>
          <w:p w14:paraId="1C23153D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8F2859A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5AFC2083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15782AF1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D9D9D9"/>
          </w:tcPr>
          <w:p w14:paraId="3E1421DD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36F" w14:paraId="37015FCC" w14:textId="77777777">
        <w:trPr>
          <w:trHeight w:val="287"/>
        </w:trPr>
        <w:tc>
          <w:tcPr>
            <w:tcW w:w="2844" w:type="dxa"/>
          </w:tcPr>
          <w:p w14:paraId="05528EBA" w14:textId="5B0044E7" w:rsidR="0003036F" w:rsidRDefault="00092728">
            <w:pPr>
              <w:pStyle w:val="TableParagraph"/>
              <w:spacing w:before="4" w:line="264" w:lineRule="exact"/>
              <w:ind w:left="112"/>
            </w:pPr>
            <w:r>
              <w:t>Admin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(max</w:t>
            </w:r>
            <w:r>
              <w:rPr>
                <w:spacing w:val="-5"/>
              </w:rPr>
              <w:t xml:space="preserve"> </w:t>
            </w:r>
            <w:r w:rsidR="002E067E">
              <w:t>1</w:t>
            </w:r>
            <w:r>
              <w:t>.5%)</w:t>
            </w:r>
          </w:p>
        </w:tc>
        <w:tc>
          <w:tcPr>
            <w:tcW w:w="1210" w:type="dxa"/>
          </w:tcPr>
          <w:p w14:paraId="4B3A1AE2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14:paraId="0F263B7A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48C475F6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</w:tcPr>
          <w:p w14:paraId="33EE3283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D9D9D9"/>
          </w:tcPr>
          <w:p w14:paraId="5414A4C1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77A0" w14:paraId="5EB23F41" w14:textId="77777777">
        <w:trPr>
          <w:trHeight w:val="287"/>
        </w:trPr>
        <w:tc>
          <w:tcPr>
            <w:tcW w:w="2844" w:type="dxa"/>
          </w:tcPr>
          <w:p w14:paraId="21E66F94" w14:textId="08B6F718" w:rsidR="008077A0" w:rsidRDefault="008077A0">
            <w:pPr>
              <w:pStyle w:val="TableParagraph"/>
              <w:spacing w:before="4" w:line="264" w:lineRule="exact"/>
              <w:ind w:left="112"/>
            </w:pPr>
            <w:r>
              <w:t xml:space="preserve">Capital </w:t>
            </w:r>
          </w:p>
        </w:tc>
        <w:tc>
          <w:tcPr>
            <w:tcW w:w="1210" w:type="dxa"/>
          </w:tcPr>
          <w:p w14:paraId="20534F98" w14:textId="3ED24EE4" w:rsidR="008077A0" w:rsidRDefault="002D264F">
            <w:pPr>
              <w:pStyle w:val="TableParagraph"/>
              <w:rPr>
                <w:rFonts w:ascii="Times New Roman"/>
                <w:sz w:val="20"/>
              </w:rPr>
            </w:pPr>
            <w:r w:rsidRPr="002D264F">
              <w:t xml:space="preserve">    n/a</w:t>
            </w:r>
          </w:p>
        </w:tc>
        <w:tc>
          <w:tcPr>
            <w:tcW w:w="1155" w:type="dxa"/>
          </w:tcPr>
          <w:p w14:paraId="372130FE" w14:textId="77777777" w:rsidR="008077A0" w:rsidRDefault="008077A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0F6151A6" w14:textId="3C58A0B8" w:rsidR="008077A0" w:rsidRDefault="002D26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</w:t>
            </w:r>
          </w:p>
        </w:tc>
        <w:tc>
          <w:tcPr>
            <w:tcW w:w="1318" w:type="dxa"/>
          </w:tcPr>
          <w:p w14:paraId="23860AD3" w14:textId="5E0DF610" w:rsidR="008077A0" w:rsidRDefault="00C634B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</w:t>
            </w:r>
            <w:r w:rsidRPr="002D264F">
              <w:t>n/a</w:t>
            </w:r>
          </w:p>
        </w:tc>
        <w:tc>
          <w:tcPr>
            <w:tcW w:w="1740" w:type="dxa"/>
            <w:shd w:val="clear" w:color="auto" w:fill="D9D9D9"/>
          </w:tcPr>
          <w:p w14:paraId="6859F8FF" w14:textId="77777777" w:rsidR="008077A0" w:rsidRDefault="008077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036F" w14:paraId="3B2E2AE8" w14:textId="77777777">
        <w:trPr>
          <w:trHeight w:val="290"/>
        </w:trPr>
        <w:tc>
          <w:tcPr>
            <w:tcW w:w="2844" w:type="dxa"/>
            <w:shd w:val="clear" w:color="auto" w:fill="E0EDDA"/>
          </w:tcPr>
          <w:p w14:paraId="4AC4ED3A" w14:textId="77777777" w:rsidR="0003036F" w:rsidRDefault="00092728">
            <w:pPr>
              <w:pStyle w:val="TableParagraph"/>
              <w:spacing w:before="6" w:line="264" w:lineRule="exact"/>
              <w:ind w:left="1172" w:right="1155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10" w:type="dxa"/>
            <w:shd w:val="clear" w:color="auto" w:fill="D9D9D9"/>
          </w:tcPr>
          <w:p w14:paraId="7FCD94EC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shd w:val="clear" w:color="auto" w:fill="D9D9D9"/>
          </w:tcPr>
          <w:p w14:paraId="0CD70D2F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  <w:shd w:val="clear" w:color="auto" w:fill="D9D9D9"/>
          </w:tcPr>
          <w:p w14:paraId="312189D5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8" w:type="dxa"/>
            <w:shd w:val="clear" w:color="auto" w:fill="D9D9D9"/>
          </w:tcPr>
          <w:p w14:paraId="6EB18E56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0" w:type="dxa"/>
            <w:shd w:val="clear" w:color="auto" w:fill="D9D9D9"/>
          </w:tcPr>
          <w:p w14:paraId="2CAE70E7" w14:textId="77777777" w:rsidR="0003036F" w:rsidRDefault="0003036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30C9B7" w14:textId="77777777" w:rsidR="0003036F" w:rsidRDefault="0003036F">
      <w:pPr>
        <w:pStyle w:val="BodyText"/>
        <w:rPr>
          <w:sz w:val="28"/>
        </w:rPr>
      </w:pPr>
    </w:p>
    <w:p w14:paraId="6BB75D9A" w14:textId="77777777" w:rsidR="0003036F" w:rsidRDefault="00092728">
      <w:pPr>
        <w:pStyle w:val="Heading1"/>
        <w:spacing w:before="194"/>
      </w:pPr>
      <w:r>
        <w:rPr>
          <w:u w:val="single"/>
        </w:rPr>
        <w:t>Intended</w:t>
      </w:r>
      <w:r>
        <w:rPr>
          <w:spacing w:val="-4"/>
          <w:u w:val="single"/>
        </w:rPr>
        <w:t xml:space="preserve"> </w:t>
      </w:r>
      <w:r>
        <w:rPr>
          <w:u w:val="single"/>
        </w:rPr>
        <w:t>Use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Funds</w:t>
      </w:r>
    </w:p>
    <w:p w14:paraId="748EBAFA" w14:textId="56BE9C89" w:rsidR="0003036F" w:rsidRDefault="00092728">
      <w:pPr>
        <w:spacing w:before="191"/>
        <w:ind w:left="220"/>
        <w:rPr>
          <w:b/>
          <w:sz w:val="28"/>
        </w:rPr>
      </w:pPr>
      <w:r>
        <w:rPr>
          <w:b/>
          <w:sz w:val="28"/>
        </w:rPr>
        <w:t>Please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include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 w:rsidR="008D38C1">
        <w:rPr>
          <w:b/>
          <w:sz w:val="28"/>
        </w:rPr>
        <w:t>short summary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intended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funds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each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spending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category.</w:t>
      </w:r>
    </w:p>
    <w:p w14:paraId="22A80787" w14:textId="77777777" w:rsidR="0003036F" w:rsidRDefault="0003036F">
      <w:pPr>
        <w:pStyle w:val="BodyText"/>
        <w:spacing w:before="6"/>
        <w:rPr>
          <w:b/>
          <w:sz w:val="21"/>
        </w:rPr>
      </w:pPr>
    </w:p>
    <w:p w14:paraId="23357F84" w14:textId="68D414FB" w:rsidR="0003036F" w:rsidRDefault="00092728">
      <w:pPr>
        <w:pStyle w:val="BodyText"/>
        <w:spacing w:line="223" w:lineRule="auto"/>
        <w:ind w:left="106" w:right="455"/>
      </w:pPr>
      <w:r>
        <w:t>The following are some examples of your</w:t>
      </w:r>
      <w:r w:rsidR="00DB386F">
        <w:t xml:space="preserve"> SSRF PH5</w:t>
      </w:r>
      <w:r>
        <w:t xml:space="preserve"> allocation which may be used to fund a range of services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but not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510E1FD6" w14:textId="77777777" w:rsidR="00DB386F" w:rsidRDefault="00DB386F" w:rsidP="0026509C">
      <w:pPr>
        <w:pStyle w:val="Default"/>
        <w:ind w:left="718"/>
      </w:pPr>
    </w:p>
    <w:p w14:paraId="25E823A5" w14:textId="77777777" w:rsidR="00DB386F" w:rsidRPr="0026509C" w:rsidRDefault="00DB386F" w:rsidP="00DB386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509C">
        <w:rPr>
          <w:rFonts w:asciiTheme="minorHAnsi" w:hAnsiTheme="minorHAnsi" w:cstheme="minorHAnsi"/>
          <w:sz w:val="22"/>
          <w:szCs w:val="22"/>
        </w:rPr>
        <w:t xml:space="preserve">Continued use of motels or hotels as isolation centres or to support social </w:t>
      </w:r>
      <w:proofErr w:type="gramStart"/>
      <w:r w:rsidRPr="0026509C">
        <w:rPr>
          <w:rFonts w:asciiTheme="minorHAnsi" w:hAnsiTheme="minorHAnsi" w:cstheme="minorHAnsi"/>
          <w:sz w:val="22"/>
          <w:szCs w:val="22"/>
        </w:rPr>
        <w:t>distancing;</w:t>
      </w:r>
      <w:proofErr w:type="gramEnd"/>
      <w:r w:rsidRPr="002650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AC2EAE" w14:textId="40971CDC" w:rsidR="00DB386F" w:rsidRPr="0026509C" w:rsidRDefault="00DB386F" w:rsidP="00DB386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509C">
        <w:rPr>
          <w:rFonts w:asciiTheme="minorHAnsi" w:hAnsiTheme="minorHAnsi" w:cstheme="minorHAnsi"/>
          <w:sz w:val="22"/>
          <w:szCs w:val="22"/>
        </w:rPr>
        <w:t xml:space="preserve">Rental assistance such as funding for rent arrears and short-term housing </w:t>
      </w:r>
      <w:proofErr w:type="gramStart"/>
      <w:r w:rsidRPr="0026509C">
        <w:rPr>
          <w:rFonts w:asciiTheme="minorHAnsi" w:hAnsiTheme="minorHAnsi" w:cstheme="minorHAnsi"/>
          <w:sz w:val="22"/>
          <w:szCs w:val="22"/>
        </w:rPr>
        <w:t>allowances;</w:t>
      </w:r>
      <w:proofErr w:type="gramEnd"/>
      <w:r w:rsidRPr="002650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87BCD3" w14:textId="41B9A9A5" w:rsidR="00DB386F" w:rsidRPr="0026509C" w:rsidRDefault="00DB386F" w:rsidP="00DB386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509C">
        <w:rPr>
          <w:rFonts w:asciiTheme="minorHAnsi" w:hAnsiTheme="minorHAnsi" w:cstheme="minorHAnsi"/>
          <w:sz w:val="22"/>
          <w:szCs w:val="22"/>
        </w:rPr>
        <w:t xml:space="preserve">Transportation </w:t>
      </w:r>
      <w:proofErr w:type="gramStart"/>
      <w:r w:rsidRPr="0026509C">
        <w:rPr>
          <w:rFonts w:asciiTheme="minorHAnsi" w:hAnsiTheme="minorHAnsi" w:cstheme="minorHAnsi"/>
          <w:sz w:val="22"/>
          <w:szCs w:val="22"/>
        </w:rPr>
        <w:t>costs;</w:t>
      </w:r>
      <w:proofErr w:type="gramEnd"/>
      <w:r w:rsidRPr="002650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63CEE7" w14:textId="4F927DCD" w:rsidR="00DB386F" w:rsidRPr="0026509C" w:rsidRDefault="00DB386F" w:rsidP="00DB386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509C">
        <w:rPr>
          <w:rFonts w:asciiTheme="minorHAnsi" w:hAnsiTheme="minorHAnsi" w:cstheme="minorHAnsi"/>
          <w:sz w:val="22"/>
          <w:szCs w:val="22"/>
        </w:rPr>
        <w:t xml:space="preserve">Food and </w:t>
      </w:r>
      <w:proofErr w:type="gramStart"/>
      <w:r w:rsidRPr="0026509C">
        <w:rPr>
          <w:rFonts w:asciiTheme="minorHAnsi" w:hAnsiTheme="minorHAnsi" w:cstheme="minorHAnsi"/>
          <w:sz w:val="22"/>
          <w:szCs w:val="22"/>
        </w:rPr>
        <w:t>supplies;</w:t>
      </w:r>
      <w:proofErr w:type="gramEnd"/>
      <w:r w:rsidRPr="002650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057578" w14:textId="1922D1FE" w:rsidR="00DB386F" w:rsidRPr="0026509C" w:rsidRDefault="00DB386F" w:rsidP="00DB386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509C">
        <w:rPr>
          <w:rFonts w:asciiTheme="minorHAnsi" w:hAnsiTheme="minorHAnsi" w:cstheme="minorHAnsi"/>
          <w:sz w:val="22"/>
          <w:szCs w:val="22"/>
        </w:rPr>
        <w:t xml:space="preserve">Enhanced cleaning </w:t>
      </w:r>
      <w:proofErr w:type="gramStart"/>
      <w:r w:rsidRPr="0026509C">
        <w:rPr>
          <w:rFonts w:asciiTheme="minorHAnsi" w:hAnsiTheme="minorHAnsi" w:cstheme="minorHAnsi"/>
          <w:sz w:val="22"/>
          <w:szCs w:val="22"/>
        </w:rPr>
        <w:t>services;</w:t>
      </w:r>
      <w:proofErr w:type="gramEnd"/>
      <w:r w:rsidRPr="002650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7858AF" w14:textId="69B8D32C" w:rsidR="00DB386F" w:rsidRPr="0026509C" w:rsidRDefault="00DB386F" w:rsidP="00DB386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509C">
        <w:rPr>
          <w:rFonts w:asciiTheme="minorHAnsi" w:hAnsiTheme="minorHAnsi" w:cstheme="minorHAnsi"/>
          <w:sz w:val="22"/>
          <w:szCs w:val="22"/>
        </w:rPr>
        <w:t>Non-medical staffing requirements (e.g., enhanced outreach services</w:t>
      </w:r>
      <w:proofErr w:type="gramStart"/>
      <w:r w:rsidRPr="0026509C">
        <w:rPr>
          <w:rFonts w:asciiTheme="minorHAnsi" w:hAnsiTheme="minorHAnsi" w:cstheme="minorHAnsi"/>
          <w:sz w:val="22"/>
          <w:szCs w:val="22"/>
        </w:rPr>
        <w:t>);</w:t>
      </w:r>
      <w:proofErr w:type="gramEnd"/>
      <w:r w:rsidRPr="002650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EEEE1E" w14:textId="3A4B4145" w:rsidR="00DB386F" w:rsidRPr="0026509C" w:rsidRDefault="00DB386F" w:rsidP="00DB386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509C">
        <w:rPr>
          <w:rFonts w:asciiTheme="minorHAnsi" w:hAnsiTheme="minorHAnsi" w:cstheme="minorHAnsi"/>
          <w:sz w:val="22"/>
          <w:szCs w:val="22"/>
        </w:rPr>
        <w:t xml:space="preserve">Personal protective equipment; and </w:t>
      </w:r>
    </w:p>
    <w:p w14:paraId="6331C5BF" w14:textId="082F9164" w:rsidR="00DB386F" w:rsidRDefault="00DB386F" w:rsidP="00DB386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6509C">
        <w:rPr>
          <w:rFonts w:asciiTheme="minorHAnsi" w:hAnsiTheme="minorHAnsi" w:cstheme="minorHAnsi"/>
          <w:sz w:val="22"/>
          <w:szCs w:val="22"/>
        </w:rPr>
        <w:t xml:space="preserve">Minor retrofits, </w:t>
      </w:r>
      <w:proofErr w:type="gramStart"/>
      <w:r w:rsidRPr="0026509C">
        <w:rPr>
          <w:rFonts w:asciiTheme="minorHAnsi" w:hAnsiTheme="minorHAnsi" w:cstheme="minorHAnsi"/>
          <w:sz w:val="22"/>
          <w:szCs w:val="22"/>
        </w:rPr>
        <w:t>alterations</w:t>
      </w:r>
      <w:proofErr w:type="gramEnd"/>
      <w:r w:rsidRPr="0026509C">
        <w:rPr>
          <w:rFonts w:asciiTheme="minorHAnsi" w:hAnsiTheme="minorHAnsi" w:cstheme="minorHAnsi"/>
          <w:sz w:val="22"/>
          <w:szCs w:val="22"/>
        </w:rPr>
        <w:t xml:space="preserve"> and repairs under $50,000</w:t>
      </w:r>
    </w:p>
    <w:p w14:paraId="4D8888A6" w14:textId="369EB1DA" w:rsidR="007E472B" w:rsidRPr="007E472B" w:rsidRDefault="007E472B" w:rsidP="007E472B">
      <w:pPr>
        <w:spacing w:before="187"/>
        <w:rPr>
          <w:sz w:val="28"/>
        </w:rPr>
        <w:sectPr w:rsidR="007E472B" w:rsidRPr="007E472B">
          <w:footerReference w:type="default" r:id="rId7"/>
          <w:type w:val="continuous"/>
          <w:pgSz w:w="12240" w:h="15840"/>
          <w:pgMar w:top="1440" w:right="1240" w:bottom="900" w:left="1220" w:header="0" w:footer="715" w:gutter="0"/>
          <w:pgNumType w:start="1"/>
          <w:cols w:space="720"/>
        </w:sectPr>
      </w:pPr>
    </w:p>
    <w:p w14:paraId="7A7A9EBE" w14:textId="77777777" w:rsidR="007E472B" w:rsidRPr="00641BBE" w:rsidRDefault="007E472B" w:rsidP="007E472B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26509C">
        <w:rPr>
          <w:rFonts w:asciiTheme="minorHAnsi" w:hAnsiTheme="minorHAnsi" w:cstheme="minorHAnsi"/>
          <w:sz w:val="22"/>
          <w:szCs w:val="22"/>
        </w:rPr>
        <w:lastRenderedPageBreak/>
        <w:t>Other supports for target clients (Indigenous people who are homeless or at risk of homelessness) to help stabilize their housing situation and improve client outcomes.</w:t>
      </w:r>
    </w:p>
    <w:p w14:paraId="4D28D9FB" w14:textId="77777777" w:rsidR="007E472B" w:rsidRDefault="007E472B" w:rsidP="007E47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33F4EDF" w14:textId="77777777" w:rsidR="007E472B" w:rsidRDefault="007E472B" w:rsidP="007E47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C18EF1" w14:textId="77777777" w:rsidR="007E472B" w:rsidRPr="00641BBE" w:rsidRDefault="007E472B" w:rsidP="007E47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1BBE">
        <w:rPr>
          <w:rFonts w:asciiTheme="minorHAnsi" w:hAnsiTheme="minorHAnsi" w:cstheme="minorHAnsi"/>
          <w:sz w:val="22"/>
          <w:szCs w:val="22"/>
        </w:rPr>
        <w:t xml:space="preserve">More broadly, this funding could also be used towards initiatives delivered through local service agencies like: </w:t>
      </w:r>
    </w:p>
    <w:p w14:paraId="0295636F" w14:textId="77777777" w:rsidR="007E472B" w:rsidRPr="00641BBE" w:rsidRDefault="007E472B" w:rsidP="007E47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1BBE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641BBE">
        <w:rPr>
          <w:rFonts w:asciiTheme="minorHAnsi" w:hAnsiTheme="minorHAnsi" w:cstheme="minorHAnsi"/>
          <w:sz w:val="22"/>
          <w:szCs w:val="22"/>
        </w:rPr>
        <w:t xml:space="preserve">Rent bank and emergency energy </w:t>
      </w:r>
      <w:proofErr w:type="gramStart"/>
      <w:r w:rsidRPr="00641BBE">
        <w:rPr>
          <w:rFonts w:asciiTheme="minorHAnsi" w:hAnsiTheme="minorHAnsi" w:cstheme="minorHAnsi"/>
          <w:sz w:val="22"/>
          <w:szCs w:val="22"/>
        </w:rPr>
        <w:t>funds;</w:t>
      </w:r>
      <w:proofErr w:type="gramEnd"/>
      <w:r w:rsidRPr="00641B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144F6C" w14:textId="77777777" w:rsidR="007E472B" w:rsidRPr="00641BBE" w:rsidRDefault="007E472B" w:rsidP="007E47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1BBE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641BBE">
        <w:rPr>
          <w:rFonts w:asciiTheme="minorHAnsi" w:hAnsiTheme="minorHAnsi" w:cstheme="minorHAnsi"/>
          <w:sz w:val="22"/>
          <w:szCs w:val="22"/>
        </w:rPr>
        <w:t xml:space="preserve">Food banks and grocery gift </w:t>
      </w:r>
      <w:proofErr w:type="gramStart"/>
      <w:r w:rsidRPr="00641BBE">
        <w:rPr>
          <w:rFonts w:asciiTheme="minorHAnsi" w:hAnsiTheme="minorHAnsi" w:cstheme="minorHAnsi"/>
          <w:sz w:val="22"/>
          <w:szCs w:val="22"/>
        </w:rPr>
        <w:t>cards;</w:t>
      </w:r>
      <w:proofErr w:type="gramEnd"/>
      <w:r w:rsidRPr="00641B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E37C19E" w14:textId="77777777" w:rsidR="007E472B" w:rsidRPr="00641BBE" w:rsidRDefault="007E472B" w:rsidP="007E47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1BBE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641BBE">
        <w:rPr>
          <w:rFonts w:asciiTheme="minorHAnsi" w:hAnsiTheme="minorHAnsi" w:cstheme="minorHAnsi"/>
          <w:sz w:val="22"/>
          <w:szCs w:val="22"/>
        </w:rPr>
        <w:t>Community outreach to support vulnerable populations in self-</w:t>
      </w:r>
      <w:proofErr w:type="gramStart"/>
      <w:r w:rsidRPr="00641BBE">
        <w:rPr>
          <w:rFonts w:asciiTheme="minorHAnsi" w:hAnsiTheme="minorHAnsi" w:cstheme="minorHAnsi"/>
          <w:sz w:val="22"/>
          <w:szCs w:val="22"/>
        </w:rPr>
        <w:t>isolation;</w:t>
      </w:r>
      <w:proofErr w:type="gramEnd"/>
      <w:r w:rsidRPr="00641B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0BC402" w14:textId="77777777" w:rsidR="007E472B" w:rsidRPr="00641BBE" w:rsidRDefault="007E472B" w:rsidP="007E47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1BBE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641BBE">
        <w:rPr>
          <w:rFonts w:asciiTheme="minorHAnsi" w:hAnsiTheme="minorHAnsi" w:cstheme="minorHAnsi"/>
          <w:sz w:val="22"/>
          <w:szCs w:val="22"/>
        </w:rPr>
        <w:t xml:space="preserve">Transportation for low-income individuals to get to and from medical appointments; and </w:t>
      </w:r>
    </w:p>
    <w:p w14:paraId="2A6B5313" w14:textId="77777777" w:rsidR="007E472B" w:rsidRDefault="007E472B" w:rsidP="007E47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41BBE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641BBE">
        <w:rPr>
          <w:rFonts w:asciiTheme="minorHAnsi" w:hAnsiTheme="minorHAnsi" w:cstheme="minorHAnsi"/>
          <w:sz w:val="22"/>
          <w:szCs w:val="22"/>
        </w:rPr>
        <w:t>Funding administration needs, including staffin</w:t>
      </w:r>
      <w:r>
        <w:rPr>
          <w:rFonts w:asciiTheme="minorHAnsi" w:hAnsiTheme="minorHAnsi" w:cstheme="minorHAnsi"/>
          <w:sz w:val="22"/>
          <w:szCs w:val="22"/>
        </w:rPr>
        <w:t>g</w:t>
      </w:r>
    </w:p>
    <w:p w14:paraId="725ECB47" w14:textId="77777777" w:rsidR="007E472B" w:rsidRDefault="007E472B" w:rsidP="007E47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A958A8" w14:textId="77777777" w:rsidR="007E472B" w:rsidRDefault="007E472B" w:rsidP="007E472B">
      <w:pPr>
        <w:pStyle w:val="Heading1"/>
        <w:spacing w:before="19"/>
        <w:ind w:left="0"/>
        <w:rPr>
          <w:u w:val="single"/>
        </w:rPr>
      </w:pPr>
    </w:p>
    <w:p w14:paraId="30BAF43B" w14:textId="081EF27E" w:rsidR="007E472B" w:rsidRDefault="007E472B" w:rsidP="007E472B">
      <w:pPr>
        <w:pStyle w:val="Heading1"/>
        <w:spacing w:before="19"/>
        <w:ind w:left="0"/>
        <w:rPr>
          <w:u w:val="single"/>
        </w:rPr>
      </w:pPr>
      <w:r>
        <w:rPr>
          <w:u w:val="single"/>
        </w:rPr>
        <w:t>Households</w:t>
      </w:r>
      <w:r>
        <w:rPr>
          <w:spacing w:val="-7"/>
          <w:u w:val="single"/>
        </w:rPr>
        <w:t xml:space="preserve"> </w:t>
      </w:r>
      <w:r>
        <w:rPr>
          <w:u w:val="single"/>
        </w:rPr>
        <w:t>Assisted</w:t>
      </w:r>
      <w:r w:rsidR="00184196">
        <w:rPr>
          <w:u w:val="single"/>
        </w:rPr>
        <w:t xml:space="preserve"> - Operating</w:t>
      </w:r>
      <w:r>
        <w:rPr>
          <w:u w:val="single"/>
        </w:rPr>
        <w:t>:</w:t>
      </w:r>
    </w:p>
    <w:p w14:paraId="0F38550D" w14:textId="77777777" w:rsidR="007E472B" w:rsidRDefault="007E472B" w:rsidP="007E472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23907C" w14:textId="31CF3422" w:rsidR="007E472B" w:rsidRPr="00184196" w:rsidRDefault="007E472B" w:rsidP="007E472B">
      <w:pPr>
        <w:spacing w:before="187"/>
        <w:ind w:left="220"/>
      </w:pPr>
      <w:r w:rsidRPr="00184196">
        <w:t>Please</w:t>
      </w:r>
      <w:r w:rsidRPr="00184196">
        <w:rPr>
          <w:spacing w:val="-8"/>
        </w:rPr>
        <w:t xml:space="preserve"> </w:t>
      </w:r>
      <w:r w:rsidRPr="00184196">
        <w:t>provide</w:t>
      </w:r>
      <w:r w:rsidRPr="00184196">
        <w:rPr>
          <w:spacing w:val="-8"/>
        </w:rPr>
        <w:t xml:space="preserve"> </w:t>
      </w:r>
      <w:r w:rsidRPr="00184196">
        <w:t>an</w:t>
      </w:r>
      <w:r w:rsidRPr="00184196">
        <w:rPr>
          <w:spacing w:val="-5"/>
        </w:rPr>
        <w:t xml:space="preserve"> </w:t>
      </w:r>
      <w:r w:rsidRPr="00184196">
        <w:t>approximate</w:t>
      </w:r>
      <w:r w:rsidRPr="00184196">
        <w:rPr>
          <w:spacing w:val="-8"/>
        </w:rPr>
        <w:t xml:space="preserve"> </w:t>
      </w:r>
      <w:r w:rsidRPr="00184196">
        <w:t>#</w:t>
      </w:r>
      <w:r w:rsidRPr="00184196">
        <w:rPr>
          <w:spacing w:val="-8"/>
        </w:rPr>
        <w:t xml:space="preserve"> </w:t>
      </w:r>
      <w:r w:rsidRPr="00184196">
        <w:t>of</w:t>
      </w:r>
      <w:r w:rsidRPr="00184196">
        <w:rPr>
          <w:spacing w:val="-1"/>
        </w:rPr>
        <w:t xml:space="preserve"> </w:t>
      </w:r>
      <w:r w:rsidRPr="00184196">
        <w:t>households</w:t>
      </w:r>
      <w:r w:rsidRPr="00184196">
        <w:rPr>
          <w:spacing w:val="-4"/>
        </w:rPr>
        <w:t xml:space="preserve"> </w:t>
      </w:r>
      <w:r w:rsidRPr="00184196">
        <w:t>that</w:t>
      </w:r>
      <w:r w:rsidRPr="00184196">
        <w:rPr>
          <w:spacing w:val="-8"/>
        </w:rPr>
        <w:t xml:space="preserve"> </w:t>
      </w:r>
      <w:r w:rsidRPr="00184196">
        <w:t>will</w:t>
      </w:r>
      <w:r w:rsidRPr="00184196">
        <w:rPr>
          <w:spacing w:val="-1"/>
        </w:rPr>
        <w:t xml:space="preserve"> </w:t>
      </w:r>
      <w:r w:rsidRPr="00184196">
        <w:t>be</w:t>
      </w:r>
      <w:r w:rsidRPr="00184196">
        <w:rPr>
          <w:spacing w:val="-5"/>
        </w:rPr>
        <w:t xml:space="preserve"> </w:t>
      </w:r>
      <w:r w:rsidRPr="00184196">
        <w:t>assisted</w:t>
      </w:r>
      <w:r w:rsidR="008077A0" w:rsidRPr="00184196">
        <w:t xml:space="preserve"> with operating funding</w:t>
      </w:r>
      <w:r w:rsidR="004D1075" w:rsidRPr="00184196">
        <w:t>:</w:t>
      </w:r>
    </w:p>
    <w:p w14:paraId="37531DF1" w14:textId="77777777" w:rsidR="007E472B" w:rsidRDefault="007E472B" w:rsidP="00BE5B40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851"/>
      </w:tblGrid>
      <w:tr w:rsidR="004D1075" w14:paraId="3D58E9A7" w14:textId="77777777" w:rsidTr="004D1075">
        <w:tc>
          <w:tcPr>
            <w:tcW w:w="7621" w:type="dxa"/>
          </w:tcPr>
          <w:p w14:paraId="0AE97C2B" w14:textId="05B040A3" w:rsidR="004D1075" w:rsidRPr="008077A0" w:rsidRDefault="004D1075" w:rsidP="007E472B">
            <w:pPr>
              <w:pStyle w:val="Heading1"/>
              <w:spacing w:before="19"/>
              <w:ind w:left="0"/>
              <w:rPr>
                <w:b w:val="0"/>
                <w:bCs w:val="0"/>
                <w:sz w:val="22"/>
                <w:szCs w:val="22"/>
              </w:rPr>
            </w:pPr>
            <w:r w:rsidRPr="008077A0">
              <w:rPr>
                <w:b w:val="0"/>
                <w:bCs w:val="0"/>
                <w:sz w:val="22"/>
                <w:szCs w:val="22"/>
              </w:rPr>
              <w:t>Number of Households at risk of homelessness</w:t>
            </w:r>
          </w:p>
        </w:tc>
        <w:tc>
          <w:tcPr>
            <w:tcW w:w="851" w:type="dxa"/>
          </w:tcPr>
          <w:p w14:paraId="3A4D2A34" w14:textId="77777777" w:rsidR="004D1075" w:rsidRDefault="004D1075" w:rsidP="007E472B">
            <w:pPr>
              <w:pStyle w:val="Heading1"/>
              <w:spacing w:before="19"/>
              <w:ind w:left="0"/>
            </w:pPr>
          </w:p>
        </w:tc>
      </w:tr>
      <w:tr w:rsidR="004D1075" w14:paraId="6DED0D28" w14:textId="77777777" w:rsidTr="004D1075">
        <w:tc>
          <w:tcPr>
            <w:tcW w:w="7621" w:type="dxa"/>
          </w:tcPr>
          <w:p w14:paraId="17088091" w14:textId="37685B4D" w:rsidR="004D1075" w:rsidRPr="008077A0" w:rsidRDefault="004D1075" w:rsidP="007E472B">
            <w:pPr>
              <w:pStyle w:val="Heading1"/>
              <w:spacing w:before="19"/>
              <w:ind w:left="0"/>
              <w:rPr>
                <w:b w:val="0"/>
                <w:bCs w:val="0"/>
                <w:sz w:val="22"/>
                <w:szCs w:val="22"/>
              </w:rPr>
            </w:pPr>
            <w:r w:rsidRPr="008077A0">
              <w:rPr>
                <w:b w:val="0"/>
                <w:bCs w:val="0"/>
                <w:sz w:val="22"/>
                <w:szCs w:val="22"/>
              </w:rPr>
              <w:t>Number of households experiencing homelessness</w:t>
            </w:r>
          </w:p>
        </w:tc>
        <w:tc>
          <w:tcPr>
            <w:tcW w:w="851" w:type="dxa"/>
          </w:tcPr>
          <w:p w14:paraId="3C38E66F" w14:textId="77777777" w:rsidR="004D1075" w:rsidRDefault="004D1075" w:rsidP="007E472B">
            <w:pPr>
              <w:pStyle w:val="Heading1"/>
              <w:spacing w:before="19"/>
              <w:ind w:left="0"/>
            </w:pPr>
          </w:p>
        </w:tc>
      </w:tr>
      <w:tr w:rsidR="004D1075" w14:paraId="084F8647" w14:textId="77777777" w:rsidTr="004D1075">
        <w:tc>
          <w:tcPr>
            <w:tcW w:w="7621" w:type="dxa"/>
          </w:tcPr>
          <w:p w14:paraId="3A1EB9C2" w14:textId="38DB5EF3" w:rsidR="004D1075" w:rsidRPr="008077A0" w:rsidRDefault="004D1075" w:rsidP="007E472B">
            <w:pPr>
              <w:pStyle w:val="Heading1"/>
              <w:spacing w:before="19"/>
              <w:ind w:left="0"/>
              <w:rPr>
                <w:b w:val="0"/>
                <w:bCs w:val="0"/>
                <w:sz w:val="22"/>
                <w:szCs w:val="22"/>
              </w:rPr>
            </w:pPr>
            <w:r w:rsidRPr="008077A0">
              <w:rPr>
                <w:b w:val="0"/>
                <w:bCs w:val="0"/>
                <w:sz w:val="22"/>
                <w:szCs w:val="22"/>
              </w:rPr>
              <w:t>Number of households receiving support services</w:t>
            </w:r>
          </w:p>
        </w:tc>
        <w:tc>
          <w:tcPr>
            <w:tcW w:w="851" w:type="dxa"/>
          </w:tcPr>
          <w:p w14:paraId="47C915A0" w14:textId="77777777" w:rsidR="004D1075" w:rsidRDefault="004D1075" w:rsidP="007E472B">
            <w:pPr>
              <w:pStyle w:val="Heading1"/>
              <w:spacing w:before="19"/>
              <w:ind w:left="0"/>
            </w:pPr>
          </w:p>
        </w:tc>
      </w:tr>
    </w:tbl>
    <w:p w14:paraId="16A470F4" w14:textId="750FC627" w:rsidR="0003036F" w:rsidRDefault="0003036F" w:rsidP="007E472B">
      <w:pPr>
        <w:pStyle w:val="Heading1"/>
        <w:spacing w:before="19"/>
        <w:ind w:left="0"/>
      </w:pPr>
    </w:p>
    <w:p w14:paraId="7931C325" w14:textId="051861C0" w:rsidR="008077A0" w:rsidRDefault="008077A0" w:rsidP="007E472B">
      <w:pPr>
        <w:pStyle w:val="Heading1"/>
        <w:spacing w:before="19"/>
        <w:ind w:left="0"/>
      </w:pPr>
    </w:p>
    <w:p w14:paraId="136AA73E" w14:textId="7D9EBA9B" w:rsidR="008077A0" w:rsidRDefault="008077A0" w:rsidP="007E472B">
      <w:pPr>
        <w:pStyle w:val="Heading1"/>
        <w:spacing w:before="19"/>
        <w:ind w:left="0"/>
      </w:pPr>
    </w:p>
    <w:p w14:paraId="4D69B848" w14:textId="79669E86" w:rsidR="008077A0" w:rsidRPr="00184196" w:rsidRDefault="008077A0" w:rsidP="007E472B">
      <w:pPr>
        <w:pStyle w:val="Heading1"/>
        <w:spacing w:before="19"/>
        <w:ind w:left="0"/>
        <w:rPr>
          <w:u w:val="single"/>
        </w:rPr>
      </w:pPr>
      <w:r w:rsidRPr="00184196">
        <w:rPr>
          <w:u w:val="single"/>
        </w:rPr>
        <w:t>Capital Funding</w:t>
      </w:r>
    </w:p>
    <w:p w14:paraId="70DC63E0" w14:textId="51F0897A" w:rsidR="008077A0" w:rsidRDefault="008077A0" w:rsidP="007E472B">
      <w:pPr>
        <w:pStyle w:val="Heading1"/>
        <w:spacing w:before="19"/>
        <w:ind w:left="0"/>
      </w:pPr>
    </w:p>
    <w:p w14:paraId="46FDEB8E" w14:textId="7E750DB4" w:rsidR="002C18BC" w:rsidRDefault="00184196" w:rsidP="007E472B">
      <w:pPr>
        <w:pStyle w:val="Heading1"/>
        <w:spacing w:before="19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For capital funding requests p</w:t>
      </w:r>
      <w:r w:rsidR="008077A0" w:rsidRPr="008077A0">
        <w:rPr>
          <w:b w:val="0"/>
          <w:bCs w:val="0"/>
          <w:sz w:val="22"/>
          <w:szCs w:val="22"/>
        </w:rPr>
        <w:t>lease</w:t>
      </w:r>
      <w:r w:rsidR="008077A0" w:rsidRPr="008077A0">
        <w:rPr>
          <w:sz w:val="22"/>
          <w:szCs w:val="22"/>
        </w:rPr>
        <w:t xml:space="preserve"> </w:t>
      </w:r>
      <w:r w:rsidR="008077A0" w:rsidRPr="008077A0">
        <w:rPr>
          <w:b w:val="0"/>
          <w:bCs w:val="0"/>
          <w:sz w:val="22"/>
          <w:szCs w:val="22"/>
        </w:rPr>
        <w:t xml:space="preserve">provide a brief summary </w:t>
      </w:r>
      <w:r w:rsidR="008077A0">
        <w:rPr>
          <w:b w:val="0"/>
          <w:bCs w:val="0"/>
          <w:sz w:val="22"/>
          <w:szCs w:val="22"/>
        </w:rPr>
        <w:t>of your project</w:t>
      </w:r>
      <w:r>
        <w:rPr>
          <w:b w:val="0"/>
          <w:bCs w:val="0"/>
          <w:sz w:val="22"/>
          <w:szCs w:val="22"/>
        </w:rPr>
        <w:t xml:space="preserve"> indicating new </w:t>
      </w:r>
      <w:r w:rsidR="00317FEB">
        <w:rPr>
          <w:b w:val="0"/>
          <w:bCs w:val="0"/>
          <w:sz w:val="22"/>
          <w:szCs w:val="22"/>
        </w:rPr>
        <w:t xml:space="preserve">or upgrades/retrofit, </w:t>
      </w:r>
      <w:r>
        <w:rPr>
          <w:b w:val="0"/>
          <w:bCs w:val="0"/>
          <w:sz w:val="22"/>
          <w:szCs w:val="22"/>
        </w:rPr>
        <w:t xml:space="preserve">funding request, timelines, </w:t>
      </w:r>
      <w:r w:rsidR="00C634BB">
        <w:rPr>
          <w:b w:val="0"/>
          <w:bCs w:val="0"/>
          <w:sz w:val="22"/>
          <w:szCs w:val="22"/>
        </w:rPr>
        <w:t xml:space="preserve">number of </w:t>
      </w:r>
      <w:r>
        <w:rPr>
          <w:b w:val="0"/>
          <w:bCs w:val="0"/>
          <w:sz w:val="22"/>
          <w:szCs w:val="22"/>
        </w:rPr>
        <w:t>units to be created</w:t>
      </w:r>
      <w:r w:rsidR="00317FEB">
        <w:rPr>
          <w:b w:val="0"/>
          <w:bCs w:val="0"/>
          <w:sz w:val="22"/>
          <w:szCs w:val="22"/>
        </w:rPr>
        <w:t xml:space="preserve"> and housing type </w:t>
      </w:r>
      <w:proofErr w:type="gramStart"/>
      <w:r w:rsidR="00317FEB">
        <w:rPr>
          <w:b w:val="0"/>
          <w:bCs w:val="0"/>
          <w:sz w:val="22"/>
          <w:szCs w:val="22"/>
        </w:rPr>
        <w:t>e.g.</w:t>
      </w:r>
      <w:proofErr w:type="gramEnd"/>
      <w:r w:rsidR="00317FEB">
        <w:rPr>
          <w:b w:val="0"/>
          <w:bCs w:val="0"/>
          <w:sz w:val="22"/>
          <w:szCs w:val="22"/>
        </w:rPr>
        <w:t xml:space="preserve"> emergency shelter, transitional, supportive. </w:t>
      </w:r>
      <w:r w:rsidR="00520219">
        <w:rPr>
          <w:b w:val="0"/>
          <w:bCs w:val="0"/>
          <w:sz w:val="22"/>
          <w:szCs w:val="22"/>
        </w:rPr>
        <w:t xml:space="preserve">Ongoing operating will be the responsibility of the housing provider and the housing type must be maintained for a minimum of ten years. </w:t>
      </w:r>
      <w:r w:rsidR="002C18BC">
        <w:rPr>
          <w:b w:val="0"/>
          <w:bCs w:val="0"/>
          <w:sz w:val="22"/>
          <w:szCs w:val="22"/>
        </w:rPr>
        <w:t xml:space="preserve">As noted in email, </w:t>
      </w:r>
      <w:r w:rsidR="00C634BB">
        <w:rPr>
          <w:b w:val="0"/>
          <w:bCs w:val="0"/>
          <w:sz w:val="22"/>
          <w:szCs w:val="22"/>
        </w:rPr>
        <w:t xml:space="preserve">MBDC </w:t>
      </w:r>
      <w:r w:rsidR="002C18BC">
        <w:rPr>
          <w:b w:val="0"/>
          <w:bCs w:val="0"/>
          <w:sz w:val="22"/>
          <w:szCs w:val="22"/>
        </w:rPr>
        <w:t xml:space="preserve">will undertake an RFP process based on capital request submissions for this Purposed Use of Funds. </w:t>
      </w:r>
    </w:p>
    <w:p w14:paraId="1E4218E3" w14:textId="68C177CE" w:rsidR="00184196" w:rsidRDefault="00184196" w:rsidP="007E472B">
      <w:pPr>
        <w:pStyle w:val="Heading1"/>
        <w:spacing w:before="19"/>
        <w:ind w:left="0"/>
        <w:rPr>
          <w:b w:val="0"/>
          <w:bCs w:val="0"/>
          <w:sz w:val="22"/>
          <w:szCs w:val="22"/>
        </w:rPr>
      </w:pPr>
    </w:p>
    <w:p w14:paraId="611E14A4" w14:textId="77777777" w:rsidR="00184196" w:rsidRPr="008077A0" w:rsidRDefault="00184196" w:rsidP="007E472B">
      <w:pPr>
        <w:pStyle w:val="Heading1"/>
        <w:spacing w:before="19"/>
        <w:ind w:left="0"/>
        <w:rPr>
          <w:b w:val="0"/>
          <w:bCs w:val="0"/>
          <w:sz w:val="22"/>
          <w:szCs w:val="22"/>
        </w:rPr>
      </w:pPr>
    </w:p>
    <w:sectPr w:rsidR="00184196" w:rsidRPr="008077A0">
      <w:pgSz w:w="12240" w:h="15840"/>
      <w:pgMar w:top="1420" w:right="1240" w:bottom="900" w:left="122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B416" w14:textId="77777777" w:rsidR="001821CA" w:rsidRDefault="001821CA">
      <w:r>
        <w:separator/>
      </w:r>
    </w:p>
  </w:endnote>
  <w:endnote w:type="continuationSeparator" w:id="0">
    <w:p w14:paraId="1AFCB5E6" w14:textId="77777777" w:rsidR="001821CA" w:rsidRDefault="0018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23DD" w14:textId="77777777" w:rsidR="0003036F" w:rsidRDefault="001821CA">
    <w:pPr>
      <w:pStyle w:val="BodyText"/>
      <w:spacing w:line="14" w:lineRule="auto"/>
      <w:rPr>
        <w:sz w:val="20"/>
      </w:rPr>
    </w:pPr>
    <w:r>
      <w:pict w14:anchorId="7CC2BAF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9.5pt;margin-top:745.25pt;width:193.5pt;height:16pt;z-index:-251658752;mso-position-horizontal-relative:page;mso-position-vertical-relative:page" filled="f" stroked="f">
          <v:textbox style="mso-next-textbox:#docshape1" inset="0,0,0,0">
            <w:txbxContent>
              <w:p w14:paraId="558C8D58" w14:textId="50A2C08C" w:rsidR="0003036F" w:rsidRDefault="00092728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color w:val="808080"/>
                    <w:sz w:val="20"/>
                  </w:rPr>
                  <w:t>Purposed</w:t>
                </w:r>
                <w:r>
                  <w:rPr>
                    <w:color w:val="808080"/>
                    <w:spacing w:val="-5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Use</w:t>
                </w:r>
                <w:r>
                  <w:rPr>
                    <w:color w:val="808080"/>
                    <w:spacing w:val="-5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of</w:t>
                </w:r>
                <w:r>
                  <w:rPr>
                    <w:color w:val="808080"/>
                    <w:spacing w:val="-9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Funds</w:t>
                </w:r>
                <w:r>
                  <w:rPr>
                    <w:color w:val="808080"/>
                    <w:spacing w:val="-4"/>
                    <w:sz w:val="20"/>
                  </w:rPr>
                  <w:t xml:space="preserve"> </w:t>
                </w:r>
                <w:r w:rsidR="0026509C">
                  <w:rPr>
                    <w:color w:val="808080"/>
                    <w:sz w:val="20"/>
                  </w:rPr>
                  <w:t>SSRF PH5 2022_23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37C3A" w14:textId="77777777" w:rsidR="001821CA" w:rsidRDefault="001821CA">
      <w:r>
        <w:separator/>
      </w:r>
    </w:p>
  </w:footnote>
  <w:footnote w:type="continuationSeparator" w:id="0">
    <w:p w14:paraId="5739E886" w14:textId="77777777" w:rsidR="001821CA" w:rsidRDefault="0018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894"/>
    <w:multiLevelType w:val="hybridMultilevel"/>
    <w:tmpl w:val="4D729C88"/>
    <w:lvl w:ilvl="0" w:tplc="BDEA5388">
      <w:numFmt w:val="bullet"/>
      <w:lvlText w:val="•"/>
      <w:lvlJc w:val="left"/>
      <w:pPr>
        <w:ind w:left="718" w:hanging="6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ED0A58CC">
      <w:numFmt w:val="bullet"/>
      <w:lvlText w:val="o"/>
      <w:lvlJc w:val="left"/>
      <w:pPr>
        <w:ind w:left="719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2" w:tplc="DB5CEB96">
      <w:numFmt w:val="bullet"/>
      <w:lvlText w:val="•"/>
      <w:lvlJc w:val="left"/>
      <w:pPr>
        <w:ind w:left="2532" w:hanging="166"/>
      </w:pPr>
      <w:rPr>
        <w:rFonts w:hint="default"/>
        <w:lang w:val="en-CA" w:eastAsia="en-US" w:bidi="ar-SA"/>
      </w:rPr>
    </w:lvl>
    <w:lvl w:ilvl="3" w:tplc="6A8CE3C2">
      <w:numFmt w:val="bullet"/>
      <w:lvlText w:val="•"/>
      <w:lvlJc w:val="left"/>
      <w:pPr>
        <w:ind w:left="3438" w:hanging="166"/>
      </w:pPr>
      <w:rPr>
        <w:rFonts w:hint="default"/>
        <w:lang w:val="en-CA" w:eastAsia="en-US" w:bidi="ar-SA"/>
      </w:rPr>
    </w:lvl>
    <w:lvl w:ilvl="4" w:tplc="30F4831E">
      <w:numFmt w:val="bullet"/>
      <w:lvlText w:val="•"/>
      <w:lvlJc w:val="left"/>
      <w:pPr>
        <w:ind w:left="4344" w:hanging="166"/>
      </w:pPr>
      <w:rPr>
        <w:rFonts w:hint="default"/>
        <w:lang w:val="en-CA" w:eastAsia="en-US" w:bidi="ar-SA"/>
      </w:rPr>
    </w:lvl>
    <w:lvl w:ilvl="5" w:tplc="B5946A7E">
      <w:numFmt w:val="bullet"/>
      <w:lvlText w:val="•"/>
      <w:lvlJc w:val="left"/>
      <w:pPr>
        <w:ind w:left="5250" w:hanging="166"/>
      </w:pPr>
      <w:rPr>
        <w:rFonts w:hint="default"/>
        <w:lang w:val="en-CA" w:eastAsia="en-US" w:bidi="ar-SA"/>
      </w:rPr>
    </w:lvl>
    <w:lvl w:ilvl="6" w:tplc="C5AAA528">
      <w:numFmt w:val="bullet"/>
      <w:lvlText w:val="•"/>
      <w:lvlJc w:val="left"/>
      <w:pPr>
        <w:ind w:left="6156" w:hanging="166"/>
      </w:pPr>
      <w:rPr>
        <w:rFonts w:hint="default"/>
        <w:lang w:val="en-CA" w:eastAsia="en-US" w:bidi="ar-SA"/>
      </w:rPr>
    </w:lvl>
    <w:lvl w:ilvl="7" w:tplc="9AD691F0">
      <w:numFmt w:val="bullet"/>
      <w:lvlText w:val="•"/>
      <w:lvlJc w:val="left"/>
      <w:pPr>
        <w:ind w:left="7062" w:hanging="166"/>
      </w:pPr>
      <w:rPr>
        <w:rFonts w:hint="default"/>
        <w:lang w:val="en-CA" w:eastAsia="en-US" w:bidi="ar-SA"/>
      </w:rPr>
    </w:lvl>
    <w:lvl w:ilvl="8" w:tplc="43B8798A">
      <w:numFmt w:val="bullet"/>
      <w:lvlText w:val="•"/>
      <w:lvlJc w:val="left"/>
      <w:pPr>
        <w:ind w:left="7968" w:hanging="166"/>
      </w:pPr>
      <w:rPr>
        <w:rFonts w:hint="default"/>
        <w:lang w:val="en-CA" w:eastAsia="en-US" w:bidi="ar-SA"/>
      </w:rPr>
    </w:lvl>
  </w:abstractNum>
  <w:abstractNum w:abstractNumId="1" w15:restartNumberingAfterBreak="0">
    <w:nsid w:val="36BA4635"/>
    <w:multiLevelType w:val="hybridMultilevel"/>
    <w:tmpl w:val="47D2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23008">
    <w:abstractNumId w:val="0"/>
  </w:num>
  <w:num w:numId="2" w16cid:durableId="1071122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36F"/>
    <w:rsid w:val="0003036F"/>
    <w:rsid w:val="000445A6"/>
    <w:rsid w:val="00092728"/>
    <w:rsid w:val="001821CA"/>
    <w:rsid w:val="00184196"/>
    <w:rsid w:val="0026509C"/>
    <w:rsid w:val="002C18BC"/>
    <w:rsid w:val="002D264F"/>
    <w:rsid w:val="002E067E"/>
    <w:rsid w:val="002E1539"/>
    <w:rsid w:val="00317FEB"/>
    <w:rsid w:val="00414331"/>
    <w:rsid w:val="004D1075"/>
    <w:rsid w:val="00520219"/>
    <w:rsid w:val="00571E85"/>
    <w:rsid w:val="005F6207"/>
    <w:rsid w:val="00641BBE"/>
    <w:rsid w:val="00700DA4"/>
    <w:rsid w:val="007E472B"/>
    <w:rsid w:val="008077A0"/>
    <w:rsid w:val="008A2A69"/>
    <w:rsid w:val="008D38C1"/>
    <w:rsid w:val="009D5F4F"/>
    <w:rsid w:val="00BE5B40"/>
    <w:rsid w:val="00C634BB"/>
    <w:rsid w:val="00DA44C6"/>
    <w:rsid w:val="00D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31C85"/>
  <w15:docId w15:val="{04FFF88A-0FDE-4EE0-9335-545C8A9F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96"/>
    <w:rPr>
      <w:rFonts w:ascii="Calibri" w:eastAsia="Calibri" w:hAnsi="Calibri" w:cs="Calibri"/>
      <w:lang w:val="en-CA"/>
    </w:rPr>
  </w:style>
  <w:style w:type="paragraph" w:styleId="Heading1">
    <w:name w:val="heading 1"/>
    <w:basedOn w:val="Normal"/>
    <w:link w:val="Heading1Char"/>
    <w:uiPriority w:val="9"/>
    <w:qFormat/>
    <w:pPr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7"/>
      <w:ind w:left="3147" w:right="313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717" w:hanging="61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B386F"/>
    <w:pPr>
      <w:widowControl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65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09C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65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09C"/>
    <w:rPr>
      <w:rFonts w:ascii="Calibri" w:eastAsia="Calibri" w:hAnsi="Calibri" w:cs="Calibri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26509C"/>
    <w:rPr>
      <w:rFonts w:ascii="Calibri" w:eastAsia="Calibri" w:hAnsi="Calibri" w:cs="Calibri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641BBE"/>
    <w:rPr>
      <w:rFonts w:ascii="Calibri" w:eastAsia="Calibri" w:hAnsi="Calibri" w:cs="Calibri"/>
      <w:b/>
      <w:bCs/>
      <w:sz w:val="28"/>
      <w:szCs w:val="28"/>
      <w:lang w:val="en-CA"/>
    </w:rPr>
  </w:style>
  <w:style w:type="table" w:styleId="TableGrid">
    <w:name w:val="Table Grid"/>
    <w:basedOn w:val="TableNormal"/>
    <w:uiPriority w:val="39"/>
    <w:rsid w:val="004D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Lawrence</dc:creator>
  <cp:keywords/>
  <dc:description/>
  <cp:lastModifiedBy>Lorna Lawrence</cp:lastModifiedBy>
  <cp:revision>5</cp:revision>
  <cp:lastPrinted>2022-04-19T18:14:00Z</cp:lastPrinted>
  <dcterms:created xsi:type="dcterms:W3CDTF">2022-04-19T16:44:00Z</dcterms:created>
  <dcterms:modified xsi:type="dcterms:W3CDTF">2022-04-19T19:49:00Z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2022-01-14T00:00:00Z</vt:filetime>
  </property>
</Properties>
</file>